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66 vom 17. Januar 2005</w:t>
      </w:r>
    </w:p>
    <w:p>
      <w:r>
        <w:t>GR Gerichte, 2005-01-17, DE</w:t>
      </w:r>
    </w:p>
    <w:p>
      <w:r>
        <w:rPr>
          <w:b/>
        </w:rPr>
        <w:t xml:space="preserve">Quelle: </w:t>
      </w:r>
      <w:r>
        <w:t>https://mcp.opencaselaw.ch/entscheid/gr_gerichte_ZF 2004 66</w:t>
      </w:r>
    </w:p>
    <w:p>
      <w:r>
        <w:t>FR: GR_GERICHTE ZF 2004 66 du 17 janvier 2005</w:t>
      </w:r>
    </w:p>
    <w:p>
      <w:r>
        <w:t>IT: GR_GERICHTE ZF 2004 66 del 17 gennaio 2005</w:t>
      </w:r>
    </w:p>
    <w:p>
      <w:pPr>
        <w:pStyle w:val="Heading2"/>
      </w:pPr>
      <w:r>
        <w:t>Regeste</w:t>
      </w:r>
    </w:p>
    <w:p>
      <w:r>
        <w:t>Forderung | OR Werkvertrag/Verlagsvertrag</w:t>
      </w:r>
    </w:p>
    <w:p>
      <w:pPr>
        <w:pStyle w:val="Heading2"/>
      </w:pPr>
      <w:r>
        <w:t>Erwägungen</w:t>
      </w:r>
    </w:p>
    <w:p>
      <w:r>
        <w:rPr>
          <w:b/>
        </w:rPr>
        <w:t>E. 2</w:t>
      </w:r>
    </w:p>
    <w:p>
      <w:r>
        <w:t>Unter Kosten- und Entschädigungsfolge zu Lasten des Klägers.“ D. Mit Prozesseingabe namens der Z. AG unter Datum vom 10. Juli 2003 prosequierte Rechtsanwalt lic. iur. Luzi Bardill den Leitschein gegen die Eheleute X. mit bis auf den Beginn des Zinsenlaufes (30. November 2002) unverändertem Rechtsbegehren. E. Mit Prozessantwort vom 5. September 2003 liessen die beklagten Eheleute X. beantragen, die Klage sei kostenfällig abzuweisen, soweit darauf eingetreten werden könne, und das Verfahren betreffend Sicherheitsleistung sei an den Gerichtspräsidenten zu überweisen.</w:t>
      </w:r>
    </w:p>
    <w:p>
      <w:r>
        <w:rPr>
          <w:b/>
        </w:rPr>
        <w:t>E. 3</w:t>
      </w:r>
    </w:p>
    <w:p>
      <w:r>
        <w:t>A.X. und B.X. werden unter solidarischer Haftbarkeit verpflichtet, die Z. AG ausseramtlich mit pauschal Fr. 21'322.35 (inkl. Spesen, Mehrwert- steuer und Interessenwertzuschlag) zu entschädigen. Die beim Bezirksgericht von A.X. und B.X. sichergestellten Fr. 15'000.-- werden bei Rechtskraft des Urteils Rechtsanwalt Bardill überwiesen. Sie sind an die Fr. 21'322.35 anzurechnen.</w:t>
      </w:r>
    </w:p>
    <w:p>
      <w:r>
        <w:rPr>
          <w:b/>
        </w:rPr>
        <w:t>E. 4</w:t>
      </w:r>
    </w:p>
    <w:p>
      <w:r>
        <w:t>(Rechtsmittelbelehrung).</w:t>
      </w:r>
    </w:p>
    <w:p>
      <w:r>
        <w:rPr>
          <w:b/>
        </w:rPr>
        <w:t>E. 5</w:t>
      </w:r>
    </w:p>
    <w:p>
      <w:r>
        <w:t>Clopath vor, auch wenn Schweizer in den USA den Amerikanern gleichgestellt seien, weshalb eine Rechtsungleichheit aus diesem Grunde ausscheide, liege eine solche - und damit auch ein Verstoss gegen Art. 8 BV bzw. Art. 6 EMRK - deshalb vor, weil eine Partei nur insofern eine Sicherstellung verlangen könne, als sie im gleichen Umfang selbst eine solche leiste. N. Zur Begründung der Berufung gegen das Urteil des Bezirksgerichts Prättigau/Davos vom 1. Juli 2004 trug Rechtsanwalt Clopath vor, die Klageeinlei- tung sei nicht durch eine genügende Ermächtigung gedeckt gewesen; die Abtre- tungserklärung sei ungültig, weil Mehrkosten für sich allein und ohne Zustimmung der Beklagten und Berufungskläger nicht abgetreten werden dürften, und zudem, weil die Mängelrechte der Eheleute X. dadurch beeinträchtigt worden seien; der Parteiwechsel sei in Ermangelung der Zustimmung des Gerichtspräsidenten un- zulässig. Weiter trug Rechtsanwalt Clopath vor, die Klägerin und Berufungsbeklagte habe nicht den Beweis erbracht, dass C. die Handwerker für die Mehrkosten bezahlt habe; schliesslich hätten die Beklagten und Berufungskläger ein Zurückbehaltungs- recht, solange die Garantiearbeiten nicht durchgeführt würden. O. In der Berufungsantwort beantragte Rechtsanwalt Bardill die kosten- fällige Abweisung der Berufung und verwies vorab auf die Richtigkeit des angefoch- tenen Urteils. Ergänzend bestätigte er, im November 2002 von C. zur Einleitung sämtlicher notwendiger Schritte beauftragt worden zu sein. Die Abtretung sei sehr wohl ohne Zustimmung der Beklagten und Berufungskläger gültig, und Mängel- rechte seien gar nicht betroffen. Bezüglich der Mehrkosten sei anlässlich der Woh- nungsübergabe verabredet worden, dass die effektiven und belegten Mehraufwen- dungen innert 10 Tagen ab Belegzustellung bezahlt würden, falls nicht substanti- ierte Einwendungen eingebracht worden wären; letztere seien nicht erfolgt, weshalb die Kosten auch aus diesem Grund als anerkannt zu gelten hätten. Im Übrigen ver- wies er auf die Ausführungen der Vorinstanz auf S. 18 ff. des angefochtenen Urteils. P. Replicando wiederholte Rechtsanwalt Clopath den Vorwurf des Voll- machtsmissbrauches und bezeichnete die Abtretung erneut als unzulässig. Schliesslich betonte er, dass die Beweislast für die Mehrkosten bei der Z. AG läge. Q. Duplicando wies Rechtsanwalt Bardill darauf hin, dass in der Schluss- abrechnung nicht nur Mehrkosten zulasten, sondern auch Minderkosten zugunsten der Eheleute X. berücksichtigt worden seien. Die Abtretungserklärung lasse auch keine Zweifel in Bezug auf die gehörige Bevollmächtigung zu.</w:t>
      </w:r>
    </w:p>
    <w:p>
      <w:r>
        <w:rPr>
          <w:b/>
        </w:rPr>
        <w:t>E. 6</w:t>
      </w:r>
    </w:p>
    <w:p>
      <w:r>
        <w:t>Die Zivilkammer zieht in Erwägung : 1. a) Gegen Urteile der Bezirksgerichte in vermögensrechtlichen Strei- tigkeiten mit einem Streitwert von über Fr. 8'000.-- ist Berufung gegeben (Art. 218 Abs. 1 in Verbindung mit Art. 19 Ziff. 1 ZPO). Sie ist innert der peremptorischen Frist von 20 Tagen seit der schriftlichen Mitteilung des Urteils zu erklären (Art. 219 Abs. 1, 1. Satz ZPO). Die Erklärung hat die formulierten Anträge auf Abänderung des erstinstanzlichen Urteils und der Beiurteile sowie neue Einreden, soweit solche noch zulässig sind, zu enthalten (Art. 219 Abs. 1, 2. Satz ZPO). Der Berufungsstreitwert ist im vorliegenden Fall erreicht, die Berufung wurde form- und fristgerecht erklärt, und die Berufungskläger sind beschwert. Es ist deshalb auf die Berufung einzutre- ten (unten E 3 ff.). b) Die Beklagten und Berufungskläger haben auch gegen das Beiurteil des Bezirksgerichtsausschusses Prättigau/Davos vom 27. November 2003 form- und fristgerecht Berufung erklärt (vgl. Art. 218 Abs. 2 ZPO). Auch darauf ist einzutreten (unten E 2). 2. a) Mit Verfügung vom 9. September 2003 verpflichtete der Bezirksge- richtspräsident die Beklagten und Berufungskläger zur Sicherstellung der mutmass- lichen aussergerichtlichen Kosten von CHF 15'000.-- durch Überweisung an das Bezirksgericht Prättigau/Davos. Mit Beiurteil vom 27. November 2003 wies der Be- zirksgerichtsausschuss Prättigau/Davos die dagegen gerichtete Beschwerde der Beklagten und Berufungskläger ab. Mit ihrer Berufung wenden sich die Beklagten und Berufungskläger gegen die angeordnete Sicherstellung, und zwar aus dem Grunde, dass eine solche nur zulässig gewesen wäre, wenn die Klägerin und Beru- fungsbeklagte eine Sicherstellung in gleicher Höhe geleistet hätte. b) Abgesehen davon, dass die Beklagten und Berufungskläger es unterlies- sen, eine solche „Gegen-Sicherstellung“ formell zu beantragen, ist ihr Einwand auch materiell nicht stichhaltig: c) Das Bundesgericht hat wiederholt bestätigt, letztmals in BGE 121 I 109 ff. E. 2, dass der Staatsvertrag zwischen der Schweizerischen Eidgenossenschaft und den Vereinigten Staaten von Nordamerika vom 17. Dezember 1850/21. Juli 1855 (SR 0.142.113.361) amerikanischen Staatsangehörigen mit Wohnsitz ausserhalb der Schweiz keinen Anspruch verleihe, von der Pflicht zur Leistung einer Prozess- kaution befreit zu werden. Massgeblich sei nicht die Staatsangehörigkeit der kauti-</w:t>
      </w:r>
    </w:p>
    <w:p>
      <w:r>
        <w:rPr>
          <w:b/>
        </w:rPr>
        <w:t>E. 7</w:t>
      </w:r>
    </w:p>
    <w:p>
      <w:r>
        <w:t>onspflichtigen Partei, sondern deren fehlender Wohnsitz in der Schweiz. Es liegt deshalb klarerweise keine rechtsungleiche Behandlung vor, wenn (alle) Parteien ohne Wohnsitz in der Schweiz zur Leistung einer Prozesskaution angehalten wer- den können, wie dies Art. 40 Abs. 1 Ziff. 1 ZPO vorsieht. Die Ansicht, dies setze voraus, dass in der Schweiz wohnhafte Parteien die gleiche Pflicht treffen könne, verstösst gerade gegen den Zweck der Sicherstellung (erschwerte Rechtsverfol- gung im Ausland) und ist nicht haltbar. Zudem - und auch deshalb - findet sie keine Stütze im Gesetz. Mithin ist die Berufung gegen das Beiurteil unbegründet, und sie ist entspre- chend abzuweisen. 3. Die Beklagten und Berufungskläger begründen ihre Berufung vorab mit dem Argument, Rechtsanwalt Luzi Bardill sei nicht zur Einleitung des vorlie- genden Klageverfahrens im Namen von C. ermächtigt gewesen. Die Vorinstanz hat dieses Argument überzeugend entkräftet (angefochtenes Urteil E. 4 S. 10 ff.), und darauf kann einmal im Sinne von Art. 229 Abs. 3 ZPO verwiesen werden (vgl. dazu Bundesgericht, 5P.378/2003 vom 8. Dezember 2003). Angesichts der Wiederho- lung des Vorwurfes des Vollmachtsmissbrauches vor der Berufungsinstanz ist Fol- gendes beizufügen: a) Rechtsanwalt Luzi Bardill verfügte über eine von C. unter Datum vom 6. November 2002 unterzeichnete Urkunde (Rechtsschriften act. 8) mit der Überschrift „Vollmacht und Auftrag“ und dem Betreff „Wohnung X.“. Der Text dieser Urkunde entspricht dem üblichen Umfang einer Anwaltsvollmacht. Darin wurde der Bevoll- mächtigte unter anderem ermächtigt, „Klagen und Rechtsmittel einzuleiten“. b) In der Berufungsbegründung beharrte Rechtsanwalt Clopath auf den Standpunkt, massgeblich sei der innere Wille des Vollmachtgebers. Entsprechend bemühte er sich um Nachweise, dass ein innerer Wille des C. zur Klageeinleitung gefehlt habe. Indes ist ein solcher Einwand nicht zu hören, denn für die Beklagten und Berufungskläger wie ihren Rechtsvertreter ist das interne Verhältnis zwischen C. und Rechtsanwalt Luzi Bardill eine res inter alios acta. Hiervon wären sie nur dann betroffen gewesen, falls C. förmlich gegenüber dem Gericht erklärt hätte, es sei in seinem Namen ohne gültige Ermächtigung Klage eingereicht worden. Das hat er nicht getan. Deshalb bildete der klare Wortlaut des (extern bekannt gegebenen) Vollmachtstextes eine klare und gültige Grundlage für die Klageeinleitung.</w:t>
      </w:r>
    </w:p>
    <w:p>
      <w:r>
        <w:rPr>
          <w:b/>
        </w:rPr>
        <w:t>E. 8</w:t>
      </w:r>
    </w:p>
    <w:p>
      <w:r>
        <w: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